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545B46">
        <w:t xml:space="preserve">ADDENDUM </w:t>
      </w:r>
      <w:r w:rsidR="009B2782" w:rsidRPr="00545B46">
        <w:t>#1</w:t>
      </w:r>
    </w:p>
    <w:p w:rsidR="00B51369" w:rsidRPr="00B51369" w:rsidRDefault="00545B46" w:rsidP="00B51369">
      <w:pPr>
        <w:jc w:val="center"/>
        <w:rPr>
          <w:highlight w:val="yellow"/>
        </w:rPr>
      </w:pPr>
      <w:r w:rsidRPr="00545B46">
        <w:t>RFA-2023-DPHS-02-REGIO</w:t>
      </w:r>
    </w:p>
    <w:p w:rsidR="00545B46" w:rsidRDefault="00545B46" w:rsidP="0055199F">
      <w:pPr>
        <w:pStyle w:val="Heading1"/>
        <w:rPr>
          <w:b w:val="0"/>
          <w:bCs w:val="0"/>
          <w:color w:val="000000"/>
          <w:kern w:val="0"/>
          <w:sz w:val="24"/>
          <w:szCs w:val="24"/>
        </w:rPr>
      </w:pPr>
      <w:r w:rsidRPr="00545B46">
        <w:rPr>
          <w:b w:val="0"/>
          <w:bCs w:val="0"/>
          <w:color w:val="000000"/>
          <w:kern w:val="0"/>
          <w:sz w:val="24"/>
          <w:szCs w:val="24"/>
        </w:rPr>
        <w:t>Regional Public Health Network Services</w:t>
      </w:r>
    </w:p>
    <w:p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p w:rsidR="00865391" w:rsidRDefault="00865391"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45B46" w:rsidRDefault="00BC01AB" w:rsidP="00545B46">
      <w:pPr>
        <w:spacing w:after="120"/>
        <w:jc w:val="both"/>
        <w:rPr>
          <w:rFonts w:cs="Arial"/>
        </w:rPr>
      </w:pPr>
      <w:r w:rsidRPr="00340E0A">
        <w:t xml:space="preserve">On </w:t>
      </w:r>
      <w:r w:rsidR="00545B46">
        <w:t>April 25, 2022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545B46">
        <w:t>Application</w:t>
      </w:r>
      <w:r w:rsidRPr="00340E0A">
        <w:t xml:space="preserve">, </w:t>
      </w:r>
      <w:r w:rsidR="00FE7B8F">
        <w:rPr>
          <w:rFonts w:cs="Arial"/>
        </w:rPr>
        <w:t>soliciting</w:t>
      </w:r>
      <w:r w:rsidR="00545B46">
        <w:rPr>
          <w:rFonts w:cs="Arial"/>
        </w:rPr>
        <w:t xml:space="preserve"> </w:t>
      </w:r>
      <w:r w:rsidR="00545B46" w:rsidRPr="00545B46">
        <w:rPr>
          <w:rFonts w:cs="Arial"/>
        </w:rPr>
        <w:t>applications for the provision of Regional Public Health Network (RPHN) services</w:t>
      </w:r>
      <w:r w:rsidR="00545B46">
        <w:rPr>
          <w:rFonts w:cs="Arial"/>
        </w:rPr>
        <w:t xml:space="preserve">. Those services include, but is not limited to </w:t>
      </w:r>
      <w:r w:rsidR="00545B46" w:rsidRPr="00545B46">
        <w:rPr>
          <w:rFonts w:cs="Arial"/>
        </w:rPr>
        <w:t>staff support and direct financial assistance to New Hampshire’s Medical Reserve Corps (MRCs)</w:t>
      </w:r>
      <w:r w:rsidR="00545B46">
        <w:rPr>
          <w:rFonts w:cs="Arial"/>
        </w:rPr>
        <w:t xml:space="preserve">, coordination and facilitation of the </w:t>
      </w:r>
      <w:r w:rsidR="00545B46" w:rsidRPr="00545B46">
        <w:rPr>
          <w:rFonts w:cs="Arial"/>
        </w:rPr>
        <w:t>regional Public Health Advisory Council (PHAC)</w:t>
      </w:r>
      <w:r w:rsidR="00545B46">
        <w:rPr>
          <w:rFonts w:cs="Arial"/>
        </w:rPr>
        <w:t xml:space="preserve">, </w:t>
      </w:r>
      <w:r w:rsidR="00545B46" w:rsidRPr="00545B46">
        <w:rPr>
          <w:rFonts w:cs="Arial"/>
        </w:rPr>
        <w:t>support to</w:t>
      </w:r>
      <w:r w:rsidR="002C6F02">
        <w:rPr>
          <w:rFonts w:cs="Arial"/>
        </w:rPr>
        <w:t xml:space="preserve"> existing school nursing staff including</w:t>
      </w:r>
      <w:r w:rsidR="00545B46" w:rsidRPr="00545B46">
        <w:rPr>
          <w:rFonts w:cs="Arial"/>
        </w:rPr>
        <w:t xml:space="preserve"> traini</w:t>
      </w:r>
      <w:r w:rsidR="002C6F02">
        <w:rPr>
          <w:rFonts w:cs="Arial"/>
        </w:rPr>
        <w:t xml:space="preserve">ng and professional development, and </w:t>
      </w:r>
      <w:r w:rsidR="002C6F02" w:rsidRPr="002C6F02">
        <w:rPr>
          <w:rFonts w:cs="Arial"/>
        </w:rPr>
        <w:t>establish</w:t>
      </w:r>
      <w:r w:rsidR="002C6F02">
        <w:rPr>
          <w:rFonts w:cs="Arial"/>
        </w:rPr>
        <w:t>ing health equity p</w:t>
      </w:r>
      <w:r w:rsidR="002C6F02" w:rsidRPr="002C6F02">
        <w:rPr>
          <w:rFonts w:cs="Arial"/>
        </w:rPr>
        <w:t xml:space="preserve">lans as part </w:t>
      </w:r>
      <w:r w:rsidR="002C6F02">
        <w:rPr>
          <w:rFonts w:cs="Arial"/>
        </w:rPr>
        <w:t>of community health improvement.</w:t>
      </w:r>
      <w:r w:rsidR="00545B46" w:rsidRPr="00545B46">
        <w:rPr>
          <w:rFonts w:cs="Arial"/>
        </w:rPr>
        <w:t xml:space="preserve"> The RPHNs will serve as the lead public health entities on behalf of </w:t>
      </w:r>
      <w:r w:rsidR="00545B46">
        <w:rPr>
          <w:rFonts w:cs="Arial"/>
        </w:rPr>
        <w:t>the Department</w:t>
      </w:r>
      <w:r w:rsidR="00545B46" w:rsidRPr="00545B46">
        <w:rPr>
          <w:rFonts w:cs="Arial"/>
        </w:rPr>
        <w:t xml:space="preserve"> in lieu of a county-based public health system.</w:t>
      </w:r>
    </w:p>
    <w:p w:rsidR="000E52D2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 xml:space="preserve">The Department is publishing this addendum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>:</w:t>
      </w:r>
    </w:p>
    <w:p w:rsidR="000A0F1C" w:rsidRPr="006271F9" w:rsidRDefault="000A0F1C" w:rsidP="000A0F1C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</w:rPr>
      </w:pPr>
      <w:r w:rsidRPr="001F5A15">
        <w:rPr>
          <w:rFonts w:cs="Arial"/>
        </w:rPr>
        <w:t xml:space="preserve">Delete and replace Section 1.2., Scope of Services, Subsection 1.2.12., Public </w:t>
      </w:r>
      <w:r w:rsidRPr="006271F9">
        <w:rPr>
          <w:rFonts w:cs="Arial"/>
        </w:rPr>
        <w:t>Health Emergency Preparedness: COVID-19 Response, Subsection 1.2.12.9., COVID-19 Vaccinations, Subsection 1.2.12.9.2., with the following:</w:t>
      </w:r>
    </w:p>
    <w:p w:rsidR="000A0F1C" w:rsidRPr="006271F9" w:rsidRDefault="000A0F1C" w:rsidP="001F5A15">
      <w:pPr>
        <w:spacing w:after="120"/>
        <w:ind w:left="1800" w:hanging="1440"/>
        <w:jc w:val="both"/>
        <w:rPr>
          <w:rFonts w:cs="Arial"/>
          <w:b/>
          <w:i/>
          <w:sz w:val="23"/>
          <w:szCs w:val="23"/>
          <w:u w:val="single"/>
          <w:lang w:eastAsia="en-US"/>
        </w:rPr>
      </w:pP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>1.2.12.9.2.</w:t>
      </w: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ab/>
        <w:t>The Selected Applicant may assist the Department and/or partners in planning and conducting mobile and other clinics to provide vaccinations against SARS-CoV-2 as directed by the Department, and in accordance with policies.</w:t>
      </w:r>
    </w:p>
    <w:p w:rsidR="00430EAA" w:rsidRPr="006271F9" w:rsidRDefault="00430EAA" w:rsidP="00430EAA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</w:rPr>
      </w:pPr>
      <w:r w:rsidRPr="006271F9">
        <w:rPr>
          <w:rFonts w:cs="Arial"/>
        </w:rPr>
        <w:t>Delete and replace Section 1.2., Scope of Services, Subsection 1.2.13., School-Based Vaccination Clinics, Subsection 1.2.13.1., with the following:</w:t>
      </w:r>
    </w:p>
    <w:p w:rsidR="00430EAA" w:rsidRPr="006271F9" w:rsidRDefault="00430EAA" w:rsidP="00430EAA">
      <w:pPr>
        <w:spacing w:after="120"/>
        <w:ind w:left="1800" w:hanging="1440"/>
        <w:jc w:val="both"/>
        <w:rPr>
          <w:rFonts w:cs="Arial"/>
          <w:b/>
          <w:i/>
          <w:sz w:val="23"/>
          <w:szCs w:val="23"/>
          <w:u w:val="single"/>
          <w:lang w:eastAsia="en-US"/>
        </w:rPr>
      </w:pP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>1.2.13.1.</w:t>
      </w: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ab/>
        <w:t xml:space="preserve">The Selected Applicant </w:t>
      </w:r>
      <w:r w:rsidR="00C341EE" w:rsidRPr="006271F9">
        <w:rPr>
          <w:rFonts w:cs="Arial"/>
          <w:b/>
          <w:i/>
          <w:sz w:val="23"/>
          <w:szCs w:val="23"/>
          <w:u w:val="single"/>
          <w:lang w:eastAsia="en-US"/>
        </w:rPr>
        <w:t>may</w:t>
      </w: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 xml:space="preserve"> provide organizational structure to administer school-based clinics (SBC) to provide vaccination against SARS-CoV-2 and Influenza. The Selected Applicant shall: </w:t>
      </w:r>
    </w:p>
    <w:p w:rsidR="00D22719" w:rsidRPr="006271F9" w:rsidRDefault="00D22719" w:rsidP="00D22719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</w:rPr>
      </w:pPr>
      <w:r w:rsidRPr="006271F9">
        <w:rPr>
          <w:rFonts w:cs="Arial"/>
        </w:rPr>
        <w:t>Delete and replace Section 1.2., Scope of Services, Subsection 1.2.14., Training and Technical Assistance Requirements, Subsection 1.2.14.1., Subsection 1.2.14.1.4. with the following:</w:t>
      </w:r>
    </w:p>
    <w:p w:rsidR="00D22719" w:rsidRPr="006271F9" w:rsidRDefault="00D22719" w:rsidP="00D22719">
      <w:pPr>
        <w:spacing w:after="120"/>
        <w:ind w:left="3240" w:hanging="1440"/>
        <w:jc w:val="both"/>
        <w:rPr>
          <w:rFonts w:cs="Arial"/>
          <w:b/>
          <w:i/>
          <w:sz w:val="23"/>
          <w:szCs w:val="23"/>
          <w:u w:val="single"/>
          <w:lang w:eastAsia="en-US"/>
        </w:rPr>
      </w:pP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>1.2.14.1.4.1.</w:t>
      </w:r>
      <w:r w:rsidRPr="006271F9">
        <w:rPr>
          <w:rFonts w:cs="Arial"/>
          <w:b/>
          <w:i/>
          <w:sz w:val="23"/>
          <w:szCs w:val="23"/>
          <w:u w:val="single"/>
          <w:lang w:eastAsia="en-US"/>
        </w:rPr>
        <w:tab/>
      </w:r>
      <w:r w:rsidR="00C71F18" w:rsidRPr="006271F9">
        <w:rPr>
          <w:rFonts w:cs="Arial"/>
          <w:b/>
          <w:i/>
          <w:sz w:val="23"/>
          <w:szCs w:val="23"/>
          <w:u w:val="single"/>
          <w:lang w:eastAsia="en-US"/>
        </w:rPr>
        <w:t xml:space="preserve">Staffing of clinics requires an on-site clinical oversight and direction </w:t>
      </w:r>
      <w:proofErr w:type="gramStart"/>
      <w:r w:rsidR="00C71F18" w:rsidRPr="006271F9">
        <w:rPr>
          <w:rFonts w:cs="Arial"/>
          <w:b/>
          <w:i/>
          <w:sz w:val="23"/>
          <w:szCs w:val="23"/>
          <w:u w:val="single"/>
          <w:lang w:eastAsia="en-US"/>
        </w:rPr>
        <w:t>is provided</w:t>
      </w:r>
      <w:proofErr w:type="gramEnd"/>
      <w:r w:rsidR="00C71F18" w:rsidRPr="006271F9">
        <w:rPr>
          <w:rFonts w:cs="Arial"/>
          <w:b/>
          <w:i/>
          <w:sz w:val="23"/>
          <w:szCs w:val="23"/>
          <w:u w:val="single"/>
          <w:lang w:eastAsia="en-US"/>
        </w:rPr>
        <w:t xml:space="preserve"> at each vaccination clinic by a currently licensed clinical staff person with a Basic Life Support (BSL) certification. This requirement does not replace other requirements for Medical Direction that </w:t>
      </w:r>
      <w:proofErr w:type="gramStart"/>
      <w:r w:rsidR="00C71F18" w:rsidRPr="006271F9">
        <w:rPr>
          <w:rFonts w:cs="Arial"/>
          <w:b/>
          <w:i/>
          <w:sz w:val="23"/>
          <w:szCs w:val="23"/>
          <w:u w:val="single"/>
          <w:lang w:eastAsia="en-US"/>
        </w:rPr>
        <w:t>can be provided</w:t>
      </w:r>
      <w:proofErr w:type="gramEnd"/>
      <w:r w:rsidR="00C71F18" w:rsidRPr="006271F9">
        <w:rPr>
          <w:rFonts w:cs="Arial"/>
          <w:b/>
          <w:i/>
          <w:sz w:val="23"/>
          <w:szCs w:val="23"/>
          <w:u w:val="single"/>
          <w:lang w:eastAsia="en-US"/>
        </w:rPr>
        <w:t xml:space="preserve"> remotely.</w:t>
      </w:r>
    </w:p>
    <w:p w:rsidR="00C341EE" w:rsidRPr="006271F9" w:rsidRDefault="00C341EE" w:rsidP="00C341EE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sz w:val="23"/>
          <w:szCs w:val="23"/>
          <w:lang w:eastAsia="en-US"/>
        </w:rPr>
      </w:pPr>
      <w:r w:rsidRPr="006271F9">
        <w:rPr>
          <w:rFonts w:cs="Arial"/>
        </w:rPr>
        <w:t>Delete and replace Appendix E – Funding Allocation Sheet with:</w:t>
      </w:r>
    </w:p>
    <w:p w:rsidR="005D7942" w:rsidRPr="00D22719" w:rsidRDefault="00C341EE" w:rsidP="00C341EE">
      <w:pPr>
        <w:spacing w:after="120"/>
        <w:ind w:left="360"/>
        <w:jc w:val="both"/>
        <w:rPr>
          <w:rFonts w:cs="Arial"/>
          <w:b/>
          <w:i/>
          <w:sz w:val="23"/>
          <w:szCs w:val="23"/>
          <w:u w:val="single"/>
          <w:lang w:eastAsia="en-US"/>
        </w:rPr>
      </w:pPr>
      <w:r w:rsidRPr="006271F9">
        <w:rPr>
          <w:rFonts w:cs="Arial"/>
          <w:b/>
          <w:i/>
          <w:u w:val="single"/>
        </w:rPr>
        <w:t>Appendix E – Funding Allocation Sheet – Addendum 1</w:t>
      </w:r>
    </w:p>
    <w:sectPr w:rsidR="005D7942" w:rsidRPr="00D22719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0" w:rsidRDefault="00527DD0">
      <w:r>
        <w:separator/>
      </w:r>
    </w:p>
    <w:p w:rsidR="00527DD0" w:rsidRDefault="00527DD0"/>
    <w:p w:rsidR="00527DD0" w:rsidRDefault="00527DD0"/>
  </w:endnote>
  <w:end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05" w:rsidRPr="00C82D05" w:rsidRDefault="00C82D05">
    <w:pPr>
      <w:pStyle w:val="Footer"/>
      <w:rPr>
        <w:sz w:val="20"/>
        <w:szCs w:val="20"/>
      </w:rPr>
    </w:pPr>
    <w:r w:rsidRPr="00C82D05">
      <w:rPr>
        <w:sz w:val="20"/>
        <w:szCs w:val="20"/>
      </w:rPr>
      <w:t>RFA-2023-DPHS-02-REGIO</w:t>
    </w:r>
  </w:p>
  <w:p w:rsidR="009B2782" w:rsidRPr="00C82D05" w:rsidRDefault="009B2782">
    <w:pPr>
      <w:pStyle w:val="Footer"/>
      <w:rPr>
        <w:sz w:val="20"/>
        <w:szCs w:val="20"/>
      </w:rPr>
    </w:pPr>
    <w:r w:rsidRPr="00C82D05">
      <w:rPr>
        <w:sz w:val="20"/>
        <w:szCs w:val="20"/>
      </w:rPr>
      <w:t>Addendum #1</w:t>
    </w:r>
  </w:p>
  <w:p w:rsidR="009B2782" w:rsidRPr="00F70D8B" w:rsidRDefault="00B51369">
    <w:pPr>
      <w:pStyle w:val="Footer"/>
      <w:rPr>
        <w:sz w:val="20"/>
        <w:szCs w:val="20"/>
      </w:rPr>
    </w:pPr>
    <w:r w:rsidRPr="00C82D05">
      <w:rPr>
        <w:sz w:val="20"/>
        <w:szCs w:val="20"/>
      </w:rPr>
      <w:t xml:space="preserve">Page </w:t>
    </w:r>
    <w:r w:rsidRPr="00C82D05">
      <w:rPr>
        <w:sz w:val="20"/>
        <w:szCs w:val="20"/>
      </w:rPr>
      <w:fldChar w:fldCharType="begin"/>
    </w:r>
    <w:r w:rsidRPr="00C82D05">
      <w:rPr>
        <w:sz w:val="20"/>
        <w:szCs w:val="20"/>
      </w:rPr>
      <w:instrText xml:space="preserve"> PAGE  \* Arabic  \* MERGEFORMAT </w:instrText>
    </w:r>
    <w:r w:rsidRPr="00C82D05">
      <w:rPr>
        <w:sz w:val="20"/>
        <w:szCs w:val="20"/>
      </w:rPr>
      <w:fldChar w:fldCharType="separate"/>
    </w:r>
    <w:r w:rsidR="006271F9">
      <w:rPr>
        <w:noProof/>
        <w:sz w:val="20"/>
        <w:szCs w:val="20"/>
      </w:rPr>
      <w:t>1</w:t>
    </w:r>
    <w:r w:rsidRPr="00C82D05">
      <w:rPr>
        <w:sz w:val="20"/>
        <w:szCs w:val="20"/>
      </w:rPr>
      <w:fldChar w:fldCharType="end"/>
    </w:r>
    <w:r w:rsidRPr="00C82D05">
      <w:rPr>
        <w:sz w:val="20"/>
        <w:szCs w:val="20"/>
      </w:rPr>
      <w:t xml:space="preserve"> of </w:t>
    </w:r>
    <w:r w:rsidR="00B56F33" w:rsidRPr="00C82D05">
      <w:rPr>
        <w:noProof/>
        <w:sz w:val="20"/>
        <w:szCs w:val="20"/>
      </w:rPr>
      <w:fldChar w:fldCharType="begin"/>
    </w:r>
    <w:r w:rsidR="00B56F33" w:rsidRPr="00C82D05">
      <w:rPr>
        <w:noProof/>
        <w:sz w:val="20"/>
        <w:szCs w:val="20"/>
      </w:rPr>
      <w:instrText xml:space="preserve"> NUMPAGES  \* Arabic  \* MERGEFORMAT </w:instrText>
    </w:r>
    <w:r w:rsidR="00B56F33" w:rsidRPr="00C82D05">
      <w:rPr>
        <w:noProof/>
        <w:sz w:val="20"/>
        <w:szCs w:val="20"/>
      </w:rPr>
      <w:fldChar w:fldCharType="separate"/>
    </w:r>
    <w:r w:rsidR="006271F9">
      <w:rPr>
        <w:noProof/>
        <w:sz w:val="20"/>
        <w:szCs w:val="20"/>
      </w:rPr>
      <w:t>1</w:t>
    </w:r>
    <w:r w:rsidR="00B56F33" w:rsidRPr="00C82D0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0" w:rsidRDefault="00527DD0">
      <w:r>
        <w:separator/>
      </w:r>
    </w:p>
    <w:p w:rsidR="00527DD0" w:rsidRDefault="00527DD0"/>
    <w:p w:rsidR="00527DD0" w:rsidRDefault="00527DD0"/>
  </w:footnote>
  <w:foot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545B46" w:rsidRPr="00545B46">
      <w:rPr>
        <w:rFonts w:cs="Arial"/>
        <w:b/>
        <w:color w:val="000080"/>
        <w:sz w:val="22"/>
        <w:szCs w:val="22"/>
      </w:rPr>
      <w:t>Regional Public Health Network Services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60F0D"/>
    <w:rsid w:val="000A0F1C"/>
    <w:rsid w:val="000E52D2"/>
    <w:rsid w:val="001D471C"/>
    <w:rsid w:val="001F5A15"/>
    <w:rsid w:val="002C4901"/>
    <w:rsid w:val="002C6F02"/>
    <w:rsid w:val="00340E0A"/>
    <w:rsid w:val="00430EAA"/>
    <w:rsid w:val="00431680"/>
    <w:rsid w:val="004D5260"/>
    <w:rsid w:val="00527DD0"/>
    <w:rsid w:val="00545B46"/>
    <w:rsid w:val="0055199F"/>
    <w:rsid w:val="005D28EA"/>
    <w:rsid w:val="005D7942"/>
    <w:rsid w:val="006271F9"/>
    <w:rsid w:val="006A36EA"/>
    <w:rsid w:val="00767A24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AB5ACB"/>
    <w:rsid w:val="00B51369"/>
    <w:rsid w:val="00B56F33"/>
    <w:rsid w:val="00B60F42"/>
    <w:rsid w:val="00B75B9E"/>
    <w:rsid w:val="00B76883"/>
    <w:rsid w:val="00BA4DF5"/>
    <w:rsid w:val="00BB04AF"/>
    <w:rsid w:val="00BC01AB"/>
    <w:rsid w:val="00C03FB9"/>
    <w:rsid w:val="00C341EE"/>
    <w:rsid w:val="00C71F18"/>
    <w:rsid w:val="00C82D05"/>
    <w:rsid w:val="00D22719"/>
    <w:rsid w:val="00DA315B"/>
    <w:rsid w:val="00E3035D"/>
    <w:rsid w:val="00E70F3B"/>
    <w:rsid w:val="00E806E9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217</TotalTime>
  <Pages>1</Pages>
  <Words>330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Goodwin, Allison</cp:lastModifiedBy>
  <cp:revision>13</cp:revision>
  <cp:lastPrinted>2013-05-20T20:52:00Z</cp:lastPrinted>
  <dcterms:created xsi:type="dcterms:W3CDTF">2021-11-15T15:26:00Z</dcterms:created>
  <dcterms:modified xsi:type="dcterms:W3CDTF">2022-05-16T17:24:00Z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