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704A3D90" w:rsidR="00357189" w:rsidRPr="00796901" w:rsidRDefault="00796901" w:rsidP="00A00A13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Describe your organizations ability to fill the ID-MEA role and provide the coverage listed in this RFA. If a specific individual(s) are already identified for this role, please include the individual’s curriculum vitae or resume on the Appendix E – Program Staff 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1A0ADA1" w14:textId="77777777" w:rsidR="00796901" w:rsidRPr="00796901" w:rsidRDefault="00796901" w:rsidP="00796901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 xml:space="preserve">Describe, in narrative form, your knowledge and experience regarding: </w:t>
      </w:r>
    </w:p>
    <w:p w14:paraId="3C31FA24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Infectious disease expertise and providing infectious disease clinical consultation services.</w:t>
      </w:r>
    </w:p>
    <w:p w14:paraId="64560C45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 xml:space="preserve">Public health and medical epidemiology expertise and any experience related to work in public health and epidemiology. </w:t>
      </w:r>
    </w:p>
    <w:p w14:paraId="5421A10F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Healthcare or public health preparedness planning.</w:t>
      </w:r>
    </w:p>
    <w:p w14:paraId="292CAF2B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Public health preparedness exercises (workshops, tabletops, drills).</w:t>
      </w:r>
    </w:p>
    <w:p w14:paraId="3248BB9F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Healthcare or public health emergency response and the incident command system.</w:t>
      </w:r>
    </w:p>
    <w:p w14:paraId="2B5282AD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Antimicrobial resistance expertise and any experience establishing antimicrobial stewardship programs or coordinating antimicrobial stewardship work.</w:t>
      </w:r>
    </w:p>
    <w:p w14:paraId="176BFE5E" w14:textId="77777777" w:rsidR="00796901" w:rsidRPr="00796901" w:rsidRDefault="00796901" w:rsidP="00796901">
      <w:pPr>
        <w:pStyle w:val="ListParagraph"/>
        <w:numPr>
          <w:ilvl w:val="1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 xml:space="preserve">Leading regional patient safety or infection prevention-related collaboratives or collaboratives involving multiple healthcare organizations.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796901" w:rsidRDefault="00735498" w:rsidP="00796901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A8BA5D1" w14:textId="684E704F" w:rsidR="00735498" w:rsidRPr="00796901" w:rsidRDefault="00796901" w:rsidP="00587775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6901">
        <w:rPr>
          <w:rFonts w:ascii="Arial" w:hAnsi="Arial" w:cs="Arial"/>
          <w:b/>
          <w:sz w:val="24"/>
          <w:szCs w:val="24"/>
        </w:rPr>
        <w:t>Describe, in narrative form, your capacity to meet and exceed the performance measures identified in this RFA.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6845D4A4" w:rsidR="00735498" w:rsidRPr="00735498" w:rsidRDefault="00796901" w:rsidP="00735498">
    <w:pPr>
      <w:pStyle w:val="Footer"/>
      <w:rPr>
        <w:rFonts w:ascii="Arial" w:hAnsi="Arial" w:cs="Arial"/>
        <w:b/>
        <w:noProof/>
        <w:color w:val="000080"/>
        <w:sz w:val="18"/>
        <w:highlight w:val="yellow"/>
      </w:rPr>
    </w:pPr>
    <w:r w:rsidRPr="00796901">
      <w:rPr>
        <w:rFonts w:ascii="Arial" w:hAnsi="Arial" w:cs="Arial"/>
        <w:b/>
        <w:noProof/>
        <w:color w:val="000080"/>
        <w:sz w:val="18"/>
      </w:rPr>
      <w:t>RFA-2024-DPHS-03-INFEC</w:t>
    </w:r>
  </w:p>
  <w:p w14:paraId="45BDEC45" w14:textId="71C3F84D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796901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796901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796901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Arial" w:hAnsi="Arial" w:cs="Arial"/>
        <w:noProof/>
        <w:color w:val="000080"/>
      </w:rPr>
    </w:pPr>
    <w:r w:rsidRPr="0079690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796901">
      <w:rPr>
        <w:rFonts w:ascii="Arial" w:hAnsi="Arial" w:cs="Arial"/>
        <w:b/>
        <w:noProof/>
        <w:color w:val="000080"/>
      </w:rPr>
      <w:t>New Hampshire Department of Health and Human Services</w:t>
    </w:r>
  </w:p>
  <w:p w14:paraId="2DB56985" w14:textId="0B511A57" w:rsidR="00406A6A" w:rsidRPr="00796901" w:rsidRDefault="00B50E69" w:rsidP="001100D8">
    <w:pPr>
      <w:pStyle w:val="NoSpacing"/>
      <w:jc w:val="center"/>
      <w:rPr>
        <w:rFonts w:ascii="Arial" w:hAnsi="Arial" w:cs="Arial"/>
        <w:b/>
        <w:bCs/>
        <w:iCs/>
        <w:color w:val="000080"/>
        <w:sz w:val="28"/>
      </w:rPr>
    </w:pPr>
    <w:r w:rsidRPr="00796901">
      <w:rPr>
        <w:rFonts w:ascii="Arial" w:hAnsi="Arial" w:cs="Arial"/>
        <w:b/>
        <w:bCs/>
        <w:iCs/>
        <w:color w:val="000080"/>
        <w:sz w:val="28"/>
      </w:rPr>
      <w:t xml:space="preserve">Appendix </w:t>
    </w:r>
    <w:r w:rsidR="00796901">
      <w:rPr>
        <w:rFonts w:ascii="Arial" w:hAnsi="Arial" w:cs="Arial"/>
        <w:b/>
        <w:bCs/>
        <w:iCs/>
        <w:color w:val="000080"/>
        <w:sz w:val="28"/>
      </w:rPr>
      <w:t>D</w:t>
    </w:r>
    <w:r w:rsidRPr="00796901">
      <w:rPr>
        <w:rFonts w:ascii="Arial" w:hAnsi="Arial" w:cs="Arial"/>
        <w:b/>
        <w:bCs/>
        <w:iCs/>
        <w:color w:val="000080"/>
        <w:sz w:val="28"/>
      </w:rPr>
      <w:t xml:space="preserve"> – Technical </w:t>
    </w:r>
    <w:r w:rsidR="00735498" w:rsidRPr="00796901">
      <w:rPr>
        <w:rFonts w:ascii="Arial" w:hAnsi="Arial" w:cs="Arial"/>
        <w:b/>
        <w:bCs/>
        <w:iCs/>
        <w:color w:val="000080"/>
        <w:sz w:val="28"/>
      </w:rPr>
      <w:t>Response</w:t>
    </w:r>
    <w:r w:rsidRPr="00796901">
      <w:rPr>
        <w:rFonts w:ascii="Arial" w:hAnsi="Arial" w:cs="Arial"/>
        <w:b/>
        <w:bCs/>
        <w:iCs/>
        <w:color w:val="000080"/>
        <w:sz w:val="28"/>
      </w:rPr>
      <w:t xml:space="preserve"> </w:t>
    </w:r>
    <w:r w:rsidR="00406A6A" w:rsidRPr="00796901">
      <w:rPr>
        <w:rFonts w:ascii="Arial" w:hAnsi="Arial" w:cs="Arial"/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 w:rsidRPr="00796901">
      <w:rPr>
        <w:rFonts w:ascii="Arial" w:hAnsi="Arial" w:cs="Arial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96901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Goodwin, Allison</cp:lastModifiedBy>
  <cp:revision>14</cp:revision>
  <dcterms:created xsi:type="dcterms:W3CDTF">2021-07-01T17:38:00Z</dcterms:created>
  <dcterms:modified xsi:type="dcterms:W3CDTF">2023-03-01T19:07:00Z</dcterms:modified>
</cp:coreProperties>
</file>