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29DE2097" w:rsidR="001C1724" w:rsidRPr="006E66CF" w:rsidRDefault="0039657F" w:rsidP="006E66CF">
            <w:pPr>
              <w:rPr>
                <w:rFonts w:ascii="Arial" w:hAnsi="Arial" w:cs="Arial"/>
                <w:sz w:val="24"/>
                <w:szCs w:val="24"/>
              </w:rPr>
            </w:pPr>
            <w:r>
              <w:rPr>
                <w:rFonts w:ascii="Arial" w:hAnsi="Arial" w:cs="Arial"/>
                <w:sz w:val="24"/>
                <w:szCs w:val="24"/>
              </w:rPr>
              <w:t>RFP-202</w:t>
            </w:r>
            <w:r w:rsidR="00FD47B6">
              <w:rPr>
                <w:rFonts w:ascii="Arial" w:hAnsi="Arial" w:cs="Arial"/>
                <w:sz w:val="24"/>
                <w:szCs w:val="24"/>
              </w:rPr>
              <w:t>4</w:t>
            </w:r>
            <w:r>
              <w:rPr>
                <w:rFonts w:ascii="Arial" w:hAnsi="Arial" w:cs="Arial"/>
                <w:sz w:val="24"/>
                <w:szCs w:val="24"/>
              </w:rPr>
              <w:t>-DES-0</w:t>
            </w:r>
            <w:r w:rsidR="00FD47B6">
              <w:rPr>
                <w:rFonts w:ascii="Arial" w:hAnsi="Arial" w:cs="Arial"/>
                <w:sz w:val="24"/>
                <w:szCs w:val="24"/>
              </w:rPr>
              <w:t>7</w:t>
            </w:r>
            <w:r>
              <w:rPr>
                <w:rFonts w:ascii="Arial" w:hAnsi="Arial" w:cs="Arial"/>
                <w:sz w:val="24"/>
                <w:szCs w:val="24"/>
              </w:rPr>
              <w:t>-STREN</w:t>
            </w: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w:t>
      </w:r>
      <w:proofErr w:type="gramStart"/>
      <w:r w:rsidRPr="00B3348C">
        <w:rPr>
          <w:color w:val="auto"/>
        </w:rPr>
        <w:t xml:space="preserve">A  </w:t>
      </w:r>
      <w:r>
        <w:rPr>
          <w:color w:val="auto"/>
        </w:rPr>
        <w:t>-</w:t>
      </w:r>
      <w:proofErr w:type="gramEnd"/>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E252" w14:textId="77777777" w:rsidR="00A6039F" w:rsidRDefault="00A60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6F9745C7"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39657F">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39657F">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1DCB" w14:textId="77777777" w:rsidR="00A6039F" w:rsidRDefault="00A60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D8E4" w14:textId="77777777" w:rsidR="00A6039F" w:rsidRDefault="00A60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6598E95A"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A6039F">
      <w:rPr>
        <w:rFonts w:ascii="Arial" w:hAnsi="Arial"/>
        <w:b/>
        <w:noProof/>
        <w:color w:val="00007F"/>
        <w:sz w:val="28"/>
        <w:szCs w:val="28"/>
      </w:rPr>
      <w:t>C</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2BB7" w14:textId="77777777" w:rsidR="00A6039F" w:rsidRDefault="00A60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4288683">
    <w:abstractNumId w:val="12"/>
  </w:num>
  <w:num w:numId="2" w16cid:durableId="1255240821">
    <w:abstractNumId w:val="0"/>
  </w:num>
  <w:num w:numId="3" w16cid:durableId="14623260">
    <w:abstractNumId w:val="12"/>
  </w:num>
  <w:num w:numId="4" w16cid:durableId="6377598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4713690">
    <w:abstractNumId w:val="12"/>
  </w:num>
  <w:num w:numId="6" w16cid:durableId="19753263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4257356">
    <w:abstractNumId w:val="12"/>
  </w:num>
  <w:num w:numId="8" w16cid:durableId="1921254333">
    <w:abstractNumId w:val="2"/>
  </w:num>
  <w:num w:numId="9" w16cid:durableId="1705212649">
    <w:abstractNumId w:val="34"/>
  </w:num>
  <w:num w:numId="10" w16cid:durableId="423460844">
    <w:abstractNumId w:val="31"/>
  </w:num>
  <w:num w:numId="11" w16cid:durableId="1925412769">
    <w:abstractNumId w:val="13"/>
  </w:num>
  <w:num w:numId="12" w16cid:durableId="1851989665">
    <w:abstractNumId w:val="29"/>
  </w:num>
  <w:num w:numId="13" w16cid:durableId="487941340">
    <w:abstractNumId w:val="25"/>
  </w:num>
  <w:num w:numId="14" w16cid:durableId="949900689">
    <w:abstractNumId w:val="32"/>
  </w:num>
  <w:num w:numId="15" w16cid:durableId="1389499695">
    <w:abstractNumId w:val="22"/>
  </w:num>
  <w:num w:numId="16" w16cid:durableId="652489039">
    <w:abstractNumId w:val="30"/>
  </w:num>
  <w:num w:numId="17" w16cid:durableId="984509418">
    <w:abstractNumId w:val="18"/>
  </w:num>
  <w:num w:numId="18" w16cid:durableId="998848188">
    <w:abstractNumId w:val="26"/>
  </w:num>
  <w:num w:numId="19" w16cid:durableId="1437821614">
    <w:abstractNumId w:val="36"/>
  </w:num>
  <w:num w:numId="20" w16cid:durableId="50079087">
    <w:abstractNumId w:val="24"/>
  </w:num>
  <w:num w:numId="21" w16cid:durableId="1731342883">
    <w:abstractNumId w:val="27"/>
  </w:num>
  <w:num w:numId="22" w16cid:durableId="669648086">
    <w:abstractNumId w:val="10"/>
  </w:num>
  <w:num w:numId="23" w16cid:durableId="370959250">
    <w:abstractNumId w:val="20"/>
  </w:num>
  <w:num w:numId="24" w16cid:durableId="1372683775">
    <w:abstractNumId w:val="4"/>
  </w:num>
  <w:num w:numId="25" w16cid:durableId="1004086106">
    <w:abstractNumId w:val="9"/>
  </w:num>
  <w:num w:numId="26" w16cid:durableId="1539704733">
    <w:abstractNumId w:val="8"/>
  </w:num>
  <w:num w:numId="27" w16cid:durableId="1124927832">
    <w:abstractNumId w:val="3"/>
  </w:num>
  <w:num w:numId="28" w16cid:durableId="655038337">
    <w:abstractNumId w:val="11"/>
  </w:num>
  <w:num w:numId="29" w16cid:durableId="859050476">
    <w:abstractNumId w:val="15"/>
  </w:num>
  <w:num w:numId="30" w16cid:durableId="1692953199">
    <w:abstractNumId w:val="1"/>
  </w:num>
  <w:num w:numId="31" w16cid:durableId="304160680">
    <w:abstractNumId w:val="14"/>
  </w:num>
  <w:num w:numId="32" w16cid:durableId="1244339533">
    <w:abstractNumId w:val="6"/>
  </w:num>
  <w:num w:numId="33" w16cid:durableId="1011183474">
    <w:abstractNumId w:val="21"/>
  </w:num>
  <w:num w:numId="34" w16cid:durableId="2125342698">
    <w:abstractNumId w:val="23"/>
  </w:num>
  <w:num w:numId="35" w16cid:durableId="331419519">
    <w:abstractNumId w:val="19"/>
  </w:num>
  <w:num w:numId="36" w16cid:durableId="242615725">
    <w:abstractNumId w:val="35"/>
  </w:num>
  <w:num w:numId="37" w16cid:durableId="1063017941">
    <w:abstractNumId w:val="17"/>
  </w:num>
  <w:num w:numId="38" w16cid:durableId="1108623048">
    <w:abstractNumId w:val="28"/>
  </w:num>
  <w:num w:numId="39" w16cid:durableId="793912369">
    <w:abstractNumId w:val="7"/>
  </w:num>
  <w:num w:numId="40" w16cid:durableId="645864025">
    <w:abstractNumId w:val="16"/>
  </w:num>
  <w:num w:numId="41" w16cid:durableId="1628656192">
    <w:abstractNumId w:val="5"/>
  </w:num>
  <w:num w:numId="42" w16cid:durableId="1918707960">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9657F"/>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39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D47B6"/>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FE093-435D-4E87-B29D-C60A1C55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Kelly, Sara</cp:lastModifiedBy>
  <cp:revision>10</cp:revision>
  <dcterms:created xsi:type="dcterms:W3CDTF">2022-02-24T17:39:00Z</dcterms:created>
  <dcterms:modified xsi:type="dcterms:W3CDTF">2023-12-13T16:50:00Z</dcterms:modified>
</cp:coreProperties>
</file>